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59" w:rsidRDefault="00FB5359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250</w:t>
      </w:r>
    </w:p>
    <w:p w:rsidR="00FB5359" w:rsidRDefault="0012735E">
      <w:pPr>
        <w:jc w:val="right"/>
        <w:rPr>
          <w:bCs/>
        </w:rPr>
      </w:pPr>
      <w:r>
        <w:rPr>
          <w:bCs/>
        </w:rPr>
        <w:t>Page 1 of 1</w:t>
      </w:r>
    </w:p>
    <w:p w:rsidR="0012735E" w:rsidRDefault="0012735E" w:rsidP="0012735E">
      <w:pPr>
        <w:rPr>
          <w:bCs/>
        </w:rPr>
      </w:pPr>
    </w:p>
    <w:p w:rsidR="0012735E" w:rsidRPr="0012735E" w:rsidRDefault="0012735E" w:rsidP="0012735E">
      <w:pPr>
        <w:rPr>
          <w:bCs/>
        </w:rPr>
      </w:pPr>
    </w:p>
    <w:p w:rsidR="00FB5359" w:rsidRDefault="00FB5359">
      <w:pPr>
        <w:rPr>
          <w:b/>
          <w:bCs/>
          <w:u w:val="single"/>
        </w:rPr>
      </w:pPr>
      <w:r>
        <w:rPr>
          <w:b/>
          <w:bCs/>
          <w:u w:val="single"/>
        </w:rPr>
        <w:t>FINANCE</w:t>
      </w:r>
    </w:p>
    <w:p w:rsidR="00FB5359" w:rsidRPr="0012735E" w:rsidRDefault="00FB5359">
      <w:pPr>
        <w:rPr>
          <w:bCs/>
          <w:u w:val="single"/>
        </w:rPr>
      </w:pPr>
    </w:p>
    <w:p w:rsidR="00FB5359" w:rsidRPr="0012735E" w:rsidRDefault="00FB5359">
      <w:pPr>
        <w:rPr>
          <w:bCs/>
          <w:u w:val="single"/>
        </w:rPr>
      </w:pPr>
    </w:p>
    <w:p w:rsidR="00FB5359" w:rsidRDefault="00FB5359">
      <w:pPr>
        <w:rPr>
          <w:b/>
          <w:u w:val="single"/>
        </w:rPr>
      </w:pPr>
      <w:r>
        <w:rPr>
          <w:b/>
          <w:u w:val="single"/>
        </w:rPr>
        <w:t>Fund Balance and Solvency</w:t>
      </w:r>
    </w:p>
    <w:p w:rsidR="00FB5359" w:rsidRDefault="00FB5359"/>
    <w:p w:rsidR="00FB5359" w:rsidRPr="00F62873" w:rsidRDefault="0012735E">
      <w:pPr>
        <w:rPr>
          <w:bCs/>
        </w:rPr>
      </w:pPr>
      <w:r w:rsidRPr="00F62873">
        <w:rPr>
          <w:bCs/>
        </w:rPr>
        <w:t xml:space="preserve">Under </w:t>
      </w:r>
      <w:hyperlink r:id="rId7" w:history="1">
        <w:r w:rsidRPr="00B40B23">
          <w:rPr>
            <w:rStyle w:val="Hyperlink"/>
            <w:bCs/>
          </w:rPr>
          <w:t>Policy number</w:t>
        </w:r>
        <w:r w:rsidR="00FB5359" w:rsidRPr="00B40B23">
          <w:rPr>
            <w:rStyle w:val="Hyperlink"/>
            <w:bCs/>
          </w:rPr>
          <w:t xml:space="preserve"> 220</w:t>
        </w:r>
      </w:hyperlink>
      <w:r w:rsidR="00FB5359" w:rsidRPr="00F62873">
        <w:rPr>
          <w:bCs/>
        </w:rPr>
        <w:t xml:space="preserve">, the Trustees for the Everett School Employee Benefit Trust (“Trustees”) are responsible for ensuring that the Everett School Employee Benefit Trust (“Trust”) is managed: </w:t>
      </w:r>
    </w:p>
    <w:p w:rsidR="00FB5359" w:rsidRPr="00F62873" w:rsidRDefault="00B40B23" w:rsidP="00B40B23">
      <w:pPr>
        <w:numPr>
          <w:ilvl w:val="0"/>
          <w:numId w:val="1"/>
        </w:numPr>
        <w:spacing w:before="120"/>
        <w:ind w:left="360"/>
        <w:rPr>
          <w:bCs/>
        </w:rPr>
      </w:pPr>
      <w:r w:rsidRPr="00F62873">
        <w:rPr>
          <w:bCs/>
        </w:rPr>
        <w:t>Effectively</w:t>
      </w:r>
      <w:r w:rsidR="00FB5359" w:rsidRPr="00F62873">
        <w:rPr>
          <w:bCs/>
        </w:rPr>
        <w:t xml:space="preserve"> and prudently, in full compliance with law and the Trust.  </w:t>
      </w:r>
    </w:p>
    <w:p w:rsidR="00FB5359" w:rsidRPr="00F62873" w:rsidRDefault="00B40B23" w:rsidP="00B40B23">
      <w:pPr>
        <w:numPr>
          <w:ilvl w:val="0"/>
          <w:numId w:val="1"/>
        </w:numPr>
        <w:spacing w:before="120"/>
        <w:ind w:left="360"/>
        <w:rPr>
          <w:bCs/>
        </w:rPr>
      </w:pPr>
      <w:r w:rsidRPr="00F62873">
        <w:rPr>
          <w:bCs/>
        </w:rPr>
        <w:t>For</w:t>
      </w:r>
      <w:r w:rsidR="00FB5359" w:rsidRPr="00F62873">
        <w:rPr>
          <w:bCs/>
        </w:rPr>
        <w:t xml:space="preserve"> the exclusive purposes of providing benefits to participants in the Trust and defraying the costs of administering the Trust. </w:t>
      </w:r>
    </w:p>
    <w:p w:rsidR="00FB5359" w:rsidRPr="00F62873" w:rsidRDefault="00FB5359" w:rsidP="0012735E">
      <w:pPr>
        <w:tabs>
          <w:tab w:val="left" w:pos="4320"/>
        </w:tabs>
        <w:rPr>
          <w:bCs/>
        </w:rPr>
      </w:pPr>
    </w:p>
    <w:p w:rsidR="00FB5359" w:rsidRPr="00F62873" w:rsidRDefault="00FB5359">
      <w:pPr>
        <w:rPr>
          <w:bCs/>
        </w:rPr>
      </w:pPr>
      <w:r w:rsidRPr="00F62873">
        <w:rPr>
          <w:bCs/>
        </w:rPr>
        <w:t>The Trustees believe this responsibility includes the requirement that sufficient funds be retained to meet the Trust’s liquidity needs,</w:t>
      </w:r>
      <w:r w:rsidR="00B40B23">
        <w:rPr>
          <w:bCs/>
        </w:rPr>
        <w:t xml:space="preserve"> which vary from time to time. </w:t>
      </w:r>
      <w:r w:rsidRPr="00F62873">
        <w:rPr>
          <w:bCs/>
        </w:rPr>
        <w:t xml:space="preserve">To retain </w:t>
      </w:r>
      <w:r w:rsidR="0061640A" w:rsidRPr="00F62873">
        <w:rPr>
          <w:bCs/>
        </w:rPr>
        <w:t>a</w:t>
      </w:r>
      <w:r w:rsidRPr="00F62873">
        <w:rPr>
          <w:bCs/>
        </w:rPr>
        <w:t xml:space="preserve"> stable financial base and to comply with regulatory solvency requirements, the Trust needs to maintain a Trust fund balance sufficient to:  (i) pay claims for benefits funded directly by the Trust, (ii) pay costs associated with administering the Trust, and (iii) provide financial reserves for unanticipated benefit and cost expenditures and/or revenue shortfalls of an emergency nature.  </w:t>
      </w:r>
    </w:p>
    <w:p w:rsidR="00FB5359" w:rsidRPr="00F62873" w:rsidRDefault="00FB5359">
      <w:pPr>
        <w:rPr>
          <w:bCs/>
        </w:rPr>
      </w:pPr>
    </w:p>
    <w:p w:rsidR="00FB5359" w:rsidRPr="00F62873" w:rsidRDefault="00FB5359">
      <w:pPr>
        <w:rPr>
          <w:bCs/>
        </w:rPr>
      </w:pPr>
      <w:r w:rsidRPr="00F62873">
        <w:rPr>
          <w:bCs/>
        </w:rPr>
        <w:t>The Trustees will develop and adopt procedures for carrying out this Policy.</w:t>
      </w:r>
    </w:p>
    <w:p w:rsidR="00FB5359" w:rsidRPr="00F62873" w:rsidRDefault="00FB5359">
      <w:pPr>
        <w:rPr>
          <w:bCs/>
        </w:rPr>
      </w:pPr>
    </w:p>
    <w:p w:rsidR="0012735E" w:rsidRPr="00F62873" w:rsidRDefault="0012735E">
      <w:pPr>
        <w:rPr>
          <w:bCs/>
        </w:rPr>
      </w:pPr>
    </w:p>
    <w:p w:rsidR="00FB5359" w:rsidRPr="00F62873" w:rsidRDefault="0012735E" w:rsidP="0012735E">
      <w:pPr>
        <w:tabs>
          <w:tab w:val="left" w:pos="2160"/>
          <w:tab w:val="left" w:pos="5040"/>
        </w:tabs>
        <w:rPr>
          <w:bCs/>
        </w:rPr>
      </w:pPr>
      <w:r w:rsidRPr="00F62873">
        <w:rPr>
          <w:bCs/>
        </w:rPr>
        <w:t xml:space="preserve">Cross </w:t>
      </w:r>
      <w:r w:rsidR="00FB5359" w:rsidRPr="00F62873">
        <w:rPr>
          <w:bCs/>
        </w:rPr>
        <w:t>Reference</w:t>
      </w:r>
      <w:r w:rsidR="00B40B23">
        <w:rPr>
          <w:bCs/>
        </w:rPr>
        <w:t>s:</w:t>
      </w:r>
      <w:r w:rsidR="00FB5359" w:rsidRPr="00F62873">
        <w:rPr>
          <w:bCs/>
        </w:rPr>
        <w:tab/>
      </w:r>
      <w:hyperlink r:id="rId8" w:history="1">
        <w:r w:rsidRPr="00B40B23">
          <w:rPr>
            <w:rStyle w:val="Hyperlink"/>
            <w:bCs/>
          </w:rPr>
          <w:t xml:space="preserve">Trust Policy </w:t>
        </w:r>
        <w:r w:rsidR="00FB5359" w:rsidRPr="00B40B23">
          <w:rPr>
            <w:rStyle w:val="Hyperlink"/>
            <w:bCs/>
          </w:rPr>
          <w:t>200</w:t>
        </w:r>
      </w:hyperlink>
      <w:r w:rsidR="00FB5359" w:rsidRPr="00F62873">
        <w:rPr>
          <w:bCs/>
        </w:rPr>
        <w:tab/>
        <w:t>Financial Policy</w:t>
      </w:r>
    </w:p>
    <w:p w:rsidR="00FB5359" w:rsidRPr="00F62873" w:rsidRDefault="0012735E" w:rsidP="0012735E">
      <w:pPr>
        <w:tabs>
          <w:tab w:val="left" w:pos="2160"/>
          <w:tab w:val="left" w:pos="5040"/>
        </w:tabs>
        <w:rPr>
          <w:bCs/>
        </w:rPr>
      </w:pPr>
      <w:r w:rsidRPr="00F62873">
        <w:rPr>
          <w:bCs/>
        </w:rPr>
        <w:tab/>
      </w:r>
      <w:hyperlink r:id="rId9" w:history="1">
        <w:r w:rsidRPr="00B40B23">
          <w:rPr>
            <w:rStyle w:val="Hyperlink"/>
            <w:bCs/>
          </w:rPr>
          <w:t xml:space="preserve">Trust Policy </w:t>
        </w:r>
        <w:r w:rsidR="00FB5359" w:rsidRPr="00B40B23">
          <w:rPr>
            <w:rStyle w:val="Hyperlink"/>
            <w:bCs/>
          </w:rPr>
          <w:t>220</w:t>
        </w:r>
      </w:hyperlink>
      <w:r w:rsidR="00FB5359" w:rsidRPr="00F62873">
        <w:rPr>
          <w:bCs/>
        </w:rPr>
        <w:tab/>
        <w:t>Investment Guidelines and Rules</w:t>
      </w:r>
    </w:p>
    <w:p w:rsidR="00FB5359" w:rsidRPr="00F62873" w:rsidRDefault="0012735E" w:rsidP="0012735E">
      <w:pPr>
        <w:tabs>
          <w:tab w:val="left" w:pos="2160"/>
          <w:tab w:val="left" w:pos="5040"/>
        </w:tabs>
        <w:rPr>
          <w:bCs/>
        </w:rPr>
      </w:pPr>
      <w:r w:rsidRPr="00F62873">
        <w:rPr>
          <w:bCs/>
        </w:rPr>
        <w:tab/>
      </w:r>
      <w:hyperlink r:id="rId10" w:history="1">
        <w:r w:rsidRPr="00B40B23">
          <w:rPr>
            <w:rStyle w:val="Hyperlink"/>
            <w:bCs/>
          </w:rPr>
          <w:t xml:space="preserve">Trust Procedure </w:t>
        </w:r>
        <w:r w:rsidR="00FB5359" w:rsidRPr="00B40B23">
          <w:rPr>
            <w:rStyle w:val="Hyperlink"/>
            <w:bCs/>
          </w:rPr>
          <w:t>250P</w:t>
        </w:r>
      </w:hyperlink>
      <w:r w:rsidR="00FB5359" w:rsidRPr="00F62873">
        <w:rPr>
          <w:bCs/>
        </w:rPr>
        <w:tab/>
        <w:t>Fund Balance and Solvency</w:t>
      </w:r>
    </w:p>
    <w:p w:rsidR="00FB5359" w:rsidRPr="00F62873" w:rsidRDefault="00FB5359">
      <w:pPr>
        <w:rPr>
          <w:bCs/>
        </w:rPr>
      </w:pPr>
    </w:p>
    <w:p w:rsidR="0012735E" w:rsidRPr="00F62873" w:rsidRDefault="0012735E">
      <w:pPr>
        <w:rPr>
          <w:bCs/>
        </w:rPr>
      </w:pPr>
    </w:p>
    <w:p w:rsidR="00FB5359" w:rsidRPr="00F62873" w:rsidRDefault="00FB5359" w:rsidP="00793B82">
      <w:pPr>
        <w:tabs>
          <w:tab w:val="left" w:pos="2160"/>
          <w:tab w:val="left" w:pos="5040"/>
        </w:tabs>
        <w:ind w:left="5040" w:hanging="5040"/>
        <w:rPr>
          <w:bCs/>
        </w:rPr>
      </w:pPr>
      <w:r w:rsidRPr="00F62873">
        <w:rPr>
          <w:bCs/>
        </w:rPr>
        <w:t>Legal Reference:</w:t>
      </w:r>
      <w:r w:rsidRPr="00F62873">
        <w:rPr>
          <w:bCs/>
        </w:rPr>
        <w:tab/>
      </w:r>
      <w:hyperlink r:id="rId11" w:history="1">
        <w:r w:rsidRPr="00B40B23">
          <w:rPr>
            <w:rStyle w:val="Hyperlink"/>
            <w:bCs/>
          </w:rPr>
          <w:t xml:space="preserve">WAC </w:t>
        </w:r>
        <w:r w:rsidR="001023A6" w:rsidRPr="00B40B23">
          <w:rPr>
            <w:rStyle w:val="Hyperlink"/>
            <w:bCs/>
          </w:rPr>
          <w:t>200-110-040</w:t>
        </w:r>
      </w:hyperlink>
      <w:r w:rsidR="0012735E" w:rsidRPr="00F62873">
        <w:rPr>
          <w:bCs/>
        </w:rPr>
        <w:tab/>
      </w:r>
      <w:r w:rsidR="001023A6">
        <w:rPr>
          <w:bCs/>
        </w:rPr>
        <w:t xml:space="preserve">(Applies only if the Trust self-insures any Trust benefits.) </w:t>
      </w:r>
      <w:r w:rsidR="00793B82" w:rsidRPr="00F62873">
        <w:t>Standards for solvency—Program funding requirements</w:t>
      </w:r>
    </w:p>
    <w:p w:rsidR="00FB5359" w:rsidRPr="00F62873" w:rsidRDefault="00FB5359">
      <w:pPr>
        <w:rPr>
          <w:bCs/>
        </w:rPr>
      </w:pPr>
    </w:p>
    <w:p w:rsidR="00FB5359" w:rsidRPr="00F62873" w:rsidRDefault="00FB5359">
      <w:pPr>
        <w:rPr>
          <w:bCs/>
        </w:rPr>
      </w:pPr>
    </w:p>
    <w:p w:rsidR="00FB5359" w:rsidRPr="0012735E" w:rsidRDefault="00FB5359">
      <w:pPr>
        <w:rPr>
          <w:bCs/>
          <w:u w:val="single"/>
        </w:rPr>
      </w:pPr>
    </w:p>
    <w:p w:rsidR="00FB5359" w:rsidRPr="0012735E" w:rsidRDefault="00FB5359">
      <w:pPr>
        <w:rPr>
          <w:bCs/>
          <w:u w:val="single"/>
        </w:rPr>
      </w:pPr>
    </w:p>
    <w:p w:rsidR="00FB5359" w:rsidRPr="0012735E" w:rsidRDefault="00FB5359">
      <w:pPr>
        <w:rPr>
          <w:bCs/>
          <w:u w:val="single"/>
        </w:rPr>
      </w:pPr>
    </w:p>
    <w:p w:rsidR="00FB5359" w:rsidRDefault="00FB5359">
      <w:pPr>
        <w:rPr>
          <w:bCs/>
          <w:u w:val="single"/>
        </w:rPr>
      </w:pPr>
    </w:p>
    <w:p w:rsidR="0012735E" w:rsidRDefault="0012735E">
      <w:pPr>
        <w:rPr>
          <w:bCs/>
          <w:u w:val="single"/>
        </w:rPr>
      </w:pPr>
    </w:p>
    <w:p w:rsidR="0012735E" w:rsidRDefault="0012735E">
      <w:pPr>
        <w:rPr>
          <w:bCs/>
          <w:u w:val="single"/>
        </w:rPr>
      </w:pPr>
    </w:p>
    <w:p w:rsidR="0012735E" w:rsidRDefault="0012735E">
      <w:pPr>
        <w:rPr>
          <w:bCs/>
          <w:u w:val="single"/>
        </w:rPr>
      </w:pPr>
    </w:p>
    <w:p w:rsidR="0012735E" w:rsidRDefault="0012735E">
      <w:pPr>
        <w:rPr>
          <w:bCs/>
          <w:u w:val="single"/>
        </w:rPr>
      </w:pPr>
    </w:p>
    <w:p w:rsidR="0012735E" w:rsidRDefault="0012735E">
      <w:pPr>
        <w:rPr>
          <w:bCs/>
          <w:u w:val="single"/>
        </w:rPr>
      </w:pPr>
    </w:p>
    <w:p w:rsidR="0012735E" w:rsidRDefault="0012735E">
      <w:pPr>
        <w:rPr>
          <w:bCs/>
          <w:u w:val="single"/>
        </w:rPr>
      </w:pPr>
    </w:p>
    <w:p w:rsidR="0012735E" w:rsidRPr="0012735E" w:rsidRDefault="0012735E">
      <w:pPr>
        <w:rPr>
          <w:bCs/>
          <w:u w:val="single"/>
        </w:rPr>
      </w:pPr>
    </w:p>
    <w:p w:rsidR="00FB5359" w:rsidRPr="0012735E" w:rsidRDefault="00FB5359">
      <w:pPr>
        <w:rPr>
          <w:bCs/>
          <w:u w:val="single"/>
        </w:rPr>
      </w:pPr>
    </w:p>
    <w:p w:rsidR="00B40B23" w:rsidRDefault="00B40B23" w:rsidP="00F62873">
      <w:pPr>
        <w:tabs>
          <w:tab w:val="left" w:pos="1080"/>
        </w:tabs>
        <w:rPr>
          <w:bCs/>
          <w:u w:val="single"/>
        </w:rPr>
      </w:pPr>
    </w:p>
    <w:p w:rsidR="00FB5359" w:rsidRDefault="00F62873" w:rsidP="00F62873">
      <w:pPr>
        <w:tabs>
          <w:tab w:val="left" w:pos="1080"/>
        </w:tabs>
        <w:rPr>
          <w:bCs/>
          <w:u w:val="single"/>
        </w:rPr>
      </w:pPr>
      <w:r>
        <w:rPr>
          <w:bCs/>
        </w:rPr>
        <w:t>Adopted</w:t>
      </w:r>
      <w:r w:rsidR="00FB5359" w:rsidRPr="00F62873">
        <w:rPr>
          <w:bCs/>
        </w:rPr>
        <w:t>:</w:t>
      </w:r>
      <w:r w:rsidR="00FB5359" w:rsidRPr="00F62873">
        <w:rPr>
          <w:bCs/>
        </w:rPr>
        <w:tab/>
      </w:r>
      <w:r w:rsidRPr="00F62873">
        <w:rPr>
          <w:bCs/>
          <w:u w:val="single"/>
        </w:rPr>
        <w:t>January 24, 2011</w:t>
      </w:r>
      <w:r w:rsidR="00793B82" w:rsidRPr="00F62873">
        <w:rPr>
          <w:bCs/>
          <w:u w:val="single"/>
        </w:rPr>
        <w:tab/>
      </w:r>
    </w:p>
    <w:p w:rsidR="001023A6" w:rsidRPr="001023A6" w:rsidRDefault="00B40B23" w:rsidP="00F62873">
      <w:pPr>
        <w:tabs>
          <w:tab w:val="left" w:pos="1080"/>
        </w:tabs>
        <w:rPr>
          <w:bCs/>
        </w:rPr>
      </w:pPr>
      <w:r>
        <w:rPr>
          <w:bCs/>
        </w:rPr>
        <w:t>Updated</w:t>
      </w:r>
      <w:r w:rsidR="001023A6">
        <w:rPr>
          <w:bCs/>
        </w:rPr>
        <w:t>:</w:t>
      </w:r>
      <w:r w:rsidR="001023A6">
        <w:rPr>
          <w:bCs/>
        </w:rPr>
        <w:tab/>
      </w:r>
      <w:r w:rsidR="001023A6" w:rsidRPr="001023A6">
        <w:rPr>
          <w:bCs/>
          <w:u w:val="single"/>
        </w:rPr>
        <w:t>October 16, 2013</w:t>
      </w:r>
      <w:r w:rsidR="001023A6" w:rsidRPr="001023A6">
        <w:rPr>
          <w:bCs/>
          <w:u w:val="single"/>
        </w:rPr>
        <w:tab/>
      </w:r>
    </w:p>
    <w:sectPr w:rsidR="001023A6" w:rsidRPr="001023A6" w:rsidSect="0012735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81" w:rsidRDefault="00A07481">
      <w:r>
        <w:separator/>
      </w:r>
    </w:p>
  </w:endnote>
  <w:endnote w:type="continuationSeparator" w:id="0">
    <w:p w:rsidR="00A07481" w:rsidRDefault="00A0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81" w:rsidRDefault="00A07481">
      <w:r>
        <w:separator/>
      </w:r>
    </w:p>
  </w:footnote>
  <w:footnote w:type="continuationSeparator" w:id="0">
    <w:p w:rsidR="00A07481" w:rsidRDefault="00A07481">
      <w:r>
        <w:separator/>
      </w:r>
    </w:p>
    <w:p w:rsidR="00A07481" w:rsidRDefault="00A07481">
      <w:pPr>
        <w:pStyle w:val="Footer"/>
      </w:pPr>
      <w:r>
        <w:t>(. . . continued)</w:t>
      </w:r>
    </w:p>
  </w:footnote>
  <w:footnote w:type="continuationNotice" w:id="1">
    <w:p w:rsidR="00A07481" w:rsidRDefault="00A07481">
      <w:pPr>
        <w:pStyle w:val="Footer"/>
        <w:jc w:val="right"/>
      </w:pPr>
      <w:r>
        <w:t>(continued . . 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CBB"/>
    <w:multiLevelType w:val="hybridMultilevel"/>
    <w:tmpl w:val="3A9E35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EA424DE"/>
    <w:multiLevelType w:val="hybridMultilevel"/>
    <w:tmpl w:val="0D9EB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1A6A4E"/>
    <w:multiLevelType w:val="hybridMultilevel"/>
    <w:tmpl w:val="14FC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D57AD"/>
    <w:multiLevelType w:val="hybridMultilevel"/>
    <w:tmpl w:val="8568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0"/>
    <w:docVar w:name="MPDocID" w:val="70374894.1 0053709-00001"/>
    <w:docVar w:name="MPDocIDTemplate" w:val="|%n|.%v| %c-%m"/>
    <w:docVar w:name="MPDocIDTemplateDefault" w:val="|%n|.%v| %c-%m"/>
    <w:docVar w:name="NewDocStampType" w:val="1"/>
    <w:docVar w:name="zzmpFixed_MacPacVersion" w:val="9.0"/>
  </w:docVars>
  <w:rsids>
    <w:rsidRoot w:val="0003544D"/>
    <w:rsid w:val="0003544D"/>
    <w:rsid w:val="001023A6"/>
    <w:rsid w:val="0012735E"/>
    <w:rsid w:val="00256BA0"/>
    <w:rsid w:val="004035C7"/>
    <w:rsid w:val="0061640A"/>
    <w:rsid w:val="006F0AB4"/>
    <w:rsid w:val="00793B82"/>
    <w:rsid w:val="00805F2B"/>
    <w:rsid w:val="0099274F"/>
    <w:rsid w:val="0099608F"/>
    <w:rsid w:val="00A07481"/>
    <w:rsid w:val="00A53562"/>
    <w:rsid w:val="00B40B23"/>
    <w:rsid w:val="00BE6C24"/>
    <w:rsid w:val="00D527CB"/>
    <w:rsid w:val="00F4698B"/>
    <w:rsid w:val="00F62873"/>
    <w:rsid w:val="00FB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407C180-D4D3-4D4B-84C0-49DFBCC1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1800" w:right="720" w:hanging="1800"/>
    </w:pPr>
    <w:rPr>
      <w:caps/>
      <w:szCs w:val="20"/>
    </w:rPr>
  </w:style>
  <w:style w:type="paragraph" w:styleId="TOC2">
    <w:name w:val="toc 2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1440" w:right="720" w:hanging="720"/>
    </w:pPr>
    <w:rPr>
      <w:szCs w:val="20"/>
    </w:rPr>
  </w:style>
  <w:style w:type="paragraph" w:styleId="TOC3">
    <w:name w:val="toc 3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2160" w:right="720" w:hanging="720"/>
    </w:pPr>
    <w:rPr>
      <w:szCs w:val="20"/>
    </w:rPr>
  </w:style>
  <w:style w:type="paragraph" w:styleId="TOC4">
    <w:name w:val="toc 4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2880" w:right="720" w:hanging="720"/>
    </w:pPr>
    <w:rPr>
      <w:szCs w:val="20"/>
    </w:rPr>
  </w:style>
  <w:style w:type="paragraph" w:styleId="TOC5">
    <w:name w:val="toc 5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3600" w:right="720" w:hanging="720"/>
    </w:pPr>
    <w:rPr>
      <w:szCs w:val="20"/>
    </w:rPr>
  </w:style>
  <w:style w:type="paragraph" w:styleId="TOC6">
    <w:name w:val="toc 6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4320" w:right="720" w:hanging="720"/>
    </w:pPr>
    <w:rPr>
      <w:szCs w:val="20"/>
    </w:rPr>
  </w:style>
  <w:style w:type="paragraph" w:styleId="TOC7">
    <w:name w:val="toc 7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5040" w:right="720" w:hanging="720"/>
    </w:pPr>
    <w:rPr>
      <w:szCs w:val="20"/>
    </w:rPr>
  </w:style>
  <w:style w:type="paragraph" w:styleId="TOC8">
    <w:name w:val="toc 8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5760" w:right="720" w:hanging="720"/>
    </w:pPr>
    <w:rPr>
      <w:szCs w:val="20"/>
    </w:rPr>
  </w:style>
  <w:style w:type="paragraph" w:styleId="TOC9">
    <w:name w:val="toc 9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6480" w:right="720" w:hanging="720"/>
    </w:pPr>
    <w:rPr>
      <w:szCs w:val="20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link w:val="FootnoteTextChar"/>
    <w:pPr>
      <w:spacing w:after="240"/>
      <w:ind w:firstLine="720"/>
    </w:pPr>
    <w:rPr>
      <w:szCs w:val="20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after="240"/>
      <w:ind w:left="1440" w:right="1440"/>
    </w:pPr>
    <w:rPr>
      <w:iCs/>
      <w:color w:val="000000"/>
    </w:rPr>
  </w:style>
  <w:style w:type="character" w:customStyle="1" w:styleId="QuoteChar">
    <w:name w:val="Quote Char"/>
    <w:link w:val="Quote"/>
    <w:uiPriority w:val="29"/>
    <w:rPr>
      <w:rFonts w:ascii="Times New Roman" w:hAnsi="Times New Roman"/>
      <w:iCs/>
      <w:color w:val="000000"/>
      <w:sz w:val="24"/>
    </w:rPr>
  </w:style>
  <w:style w:type="paragraph" w:styleId="BodyText">
    <w:name w:val="Body Text"/>
    <w:basedOn w:val="Normal"/>
    <w:link w:val="BodyTextChar"/>
    <w:uiPriority w:val="99"/>
    <w:pPr>
      <w:spacing w:after="240"/>
      <w:ind w:firstLine="720"/>
    </w:pPr>
  </w:style>
  <w:style w:type="character" w:customStyle="1" w:styleId="BodyTextChar">
    <w:name w:val="Body Text Char"/>
    <w:link w:val="BodyText"/>
    <w:uiPriority w:val="99"/>
    <w:rPr>
      <w:rFonts w:ascii="Times New Roman" w:hAnsi="Times New Roman"/>
      <w:sz w:val="24"/>
    </w:rPr>
  </w:style>
  <w:style w:type="paragraph" w:customStyle="1" w:styleId="BodyTextContinued">
    <w:name w:val="Body Text Continued"/>
    <w:basedOn w:val="BodyText"/>
    <w:link w:val="BodyTextContinuedChar"/>
    <w:qFormat/>
    <w:pPr>
      <w:ind w:firstLine="0"/>
    </w:pPr>
  </w:style>
  <w:style w:type="character" w:customStyle="1" w:styleId="BodyTextContinuedChar">
    <w:name w:val="Body Text Continued Char"/>
    <w:basedOn w:val="BodyTextChar"/>
    <w:link w:val="BodyTextContinued"/>
    <w:rPr>
      <w:rFonts w:ascii="Times New Roman" w:hAnsi="Times New Roman"/>
      <w:sz w:val="24"/>
    </w:rPr>
  </w:style>
  <w:style w:type="paragraph" w:customStyle="1" w:styleId="DraftBodyText">
    <w:name w:val="Draft Body Text"/>
    <w:basedOn w:val="BodyText"/>
    <w:link w:val="DraftBodyTextChar"/>
    <w:qFormat/>
    <w:pPr>
      <w:spacing w:line="480" w:lineRule="auto"/>
    </w:pPr>
  </w:style>
  <w:style w:type="character" w:customStyle="1" w:styleId="DraftBodyTextChar">
    <w:name w:val="Draft Body Text Char"/>
    <w:basedOn w:val="BodyTextChar"/>
    <w:link w:val="DraftBodyText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/>
      <w:sz w:val="24"/>
      <w:szCs w:val="24"/>
    </w:rPr>
  </w:style>
  <w:style w:type="character" w:customStyle="1" w:styleId="zzmpTrailerItem">
    <w:name w:val="zzmpTrailerItem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bodyhighlight1">
    <w:name w:val="bodyhighlight1"/>
    <w:rPr>
      <w:rFonts w:ascii="Verdana" w:hAnsi="Verdana" w:cs="Arial" w:hint="default"/>
      <w:b/>
      <w:bCs/>
      <w:color w:val="E4795D"/>
      <w:sz w:val="16"/>
      <w:szCs w:val="16"/>
    </w:rPr>
  </w:style>
  <w:style w:type="paragraph" w:customStyle="1" w:styleId="DraftStamp">
    <w:name w:val="Draft Stamp"/>
    <w:pPr>
      <w:jc w:val="right"/>
    </w:pPr>
    <w:rPr>
      <w:rFonts w:ascii="Arial" w:hAnsi="Arial" w:cs="Arial"/>
      <w:b/>
      <w:bCs/>
      <w:sz w:val="26"/>
    </w:rPr>
  </w:style>
  <w:style w:type="paragraph" w:customStyle="1" w:styleId="DraftDate">
    <w:name w:val="Draft Date"/>
    <w:basedOn w:val="DraftStamp"/>
    <w:rPr>
      <w:bCs w:val="0"/>
      <w:sz w:val="22"/>
    </w:rPr>
  </w:style>
  <w:style w:type="paragraph" w:styleId="BalloonText">
    <w:name w:val="Balloon Text"/>
    <w:basedOn w:val="Normal"/>
    <w:semiHidden/>
    <w:rsid w:val="00793B8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40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share.everett.k12.wa.us/docushare/dsweb/Get/Document-32981/20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ushare.everett.k12.wa.us/docushare/dsweb/Get/Document-32985/22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s.leg.wa.gov/wac/default.aspx?cite=200-110-04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ushare.everett.k12.wa.us/docushare/dsweb/Get/Document-32990/250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ushare.everett.k12.wa.us/docushare/dsweb/Get/Document-32985/2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No</vt:lpstr>
    </vt:vector>
  </TitlesOfParts>
  <Company>Stoel Rives LLP</Company>
  <LinksUpToDate>false</LinksUpToDate>
  <CharactersWithSpaces>1924</CharactersWithSpaces>
  <SharedDoc>false</SharedDoc>
  <HLinks>
    <vt:vector size="30" baseType="variant">
      <vt:variant>
        <vt:i4>1638404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http://apps.leg.wa.gov/wac/default.aspx?cite=200-110-040</vt:lpwstr>
      </vt:variant>
      <vt:variant>
        <vt:lpwstr/>
      </vt:variant>
      <vt:variant>
        <vt:i4>7667832</vt:i4>
      </vt:variant>
      <vt:variant>
        <vt:i4>9</vt:i4>
      </vt:variant>
      <vt:variant>
        <vt:i4>0</vt:i4>
      </vt:variant>
      <vt:variant>
        <vt:i4>5</vt:i4>
      </vt:variant>
      <vt:variant>
        <vt:lpwstr>http://docushare.everett.k12.wa.us/docushare/dsweb/Get/Document-32990/250P.pdf</vt:lpwstr>
      </vt:variant>
      <vt:variant>
        <vt:lpwstr/>
      </vt:variant>
      <vt:variant>
        <vt:i4>6225991</vt:i4>
      </vt:variant>
      <vt:variant>
        <vt:i4>6</vt:i4>
      </vt:variant>
      <vt:variant>
        <vt:i4>0</vt:i4>
      </vt:variant>
      <vt:variant>
        <vt:i4>5</vt:i4>
      </vt:variant>
      <vt:variant>
        <vt:lpwstr>http://docushare.everett.k12.wa.us/docushare/dsweb/Get/Document-32985/220.pdf</vt:lpwstr>
      </vt:variant>
      <vt:variant>
        <vt:lpwstr/>
      </vt:variant>
      <vt:variant>
        <vt:i4>6094915</vt:i4>
      </vt:variant>
      <vt:variant>
        <vt:i4>3</vt:i4>
      </vt:variant>
      <vt:variant>
        <vt:i4>0</vt:i4>
      </vt:variant>
      <vt:variant>
        <vt:i4>5</vt:i4>
      </vt:variant>
      <vt:variant>
        <vt:lpwstr>http://docushare.everett.k12.wa.us/docushare/dsweb/Get/Document-32981/200.pdf</vt:lpwstr>
      </vt:variant>
      <vt:variant>
        <vt:lpwstr/>
      </vt:variant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http://docushare.everett.k12.wa.us/docushare/dsweb/Get/Document-32985/220.pdf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No</dc:title>
  <dc:subject/>
  <dc:creator>Howard Bye</dc:creator>
  <cp:keywords/>
  <dc:description/>
  <cp:lastModifiedBy>Newcomb, Kellee J.</cp:lastModifiedBy>
  <cp:revision>2</cp:revision>
  <cp:lastPrinted>2011-01-24T18:31:00Z</cp:lastPrinted>
  <dcterms:created xsi:type="dcterms:W3CDTF">2017-12-14T18:34:00Z</dcterms:created>
  <dcterms:modified xsi:type="dcterms:W3CDTF">2017-12-14T18:34:00Z</dcterms:modified>
</cp:coreProperties>
</file>